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აუქციონის აღწერილობა</w:t>
      </w:r>
    </w:p>
    <w:p>
      <w:pPr>
        <w:jc w:val="both"/>
        <w:rPr>
          <w:rFonts w:ascii="Sylfaen" w:hAnsi="Sylfaen" w:cs="Sylfaen"/>
          <w:lang w:val="ka-GE"/>
        </w:rPr>
      </w:pPr>
    </w:p>
    <w:p>
      <w:pPr>
        <w:numPr>
          <w:ilvl w:val="0"/>
          <w:numId w:val="1"/>
        </w:numPr>
        <w:spacing w:after="120" w:afterLines="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სს </w:t>
      </w:r>
      <w:r>
        <w:rPr>
          <w:rFonts w:ascii="Sylfaen" w:hAnsi="Sylfaen" w:cs="Sylfaen"/>
        </w:rPr>
        <w:t>“</w:t>
      </w:r>
      <w:r>
        <w:rPr>
          <w:rFonts w:ascii="Sylfaen" w:hAnsi="Sylfaen" w:cs="Sylfaen"/>
          <w:lang w:val="ka-GE"/>
        </w:rPr>
        <w:t>ოპპა</w:t>
      </w:r>
      <w:r>
        <w:rPr>
          <w:rFonts w:ascii="Sylfaen" w:hAnsi="Sylfaen" w:cs="Sylfaen"/>
        </w:rPr>
        <w:t>”</w:t>
      </w:r>
      <w:r>
        <w:rPr>
          <w:rFonts w:ascii="Sylfaen" w:hAnsi="Sylfaen" w:cs="Sylfaen"/>
          <w:lang w:val="ka-GE"/>
        </w:rPr>
        <w:t xml:space="preserve"> აცხადებს აუქციონს სწრაფი გადახდის ტერმინალებში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ka-GE"/>
        </w:rPr>
        <w:t>PayBox-ებში, მთავარ გვერდზე ღილაკის უპირატესად განთავსებაზე</w:t>
      </w:r>
    </w:p>
    <w:p>
      <w:pPr>
        <w:numPr>
          <w:ilvl w:val="0"/>
          <w:numId w:val="1"/>
        </w:numPr>
        <w:spacing w:after="120" w:afterLines="5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აღნიშნულ აუქციონში მონაწილეობის მიღება შეუძლია ნებისმიერ კომპანიას,  რომლის სასარგებლოდაც სს ოპპა ახდენს/მოახდენს გადახდების მიღებას.</w:t>
      </w:r>
    </w:p>
    <w:p>
      <w:pPr>
        <w:jc w:val="both"/>
        <w:rPr>
          <w:rFonts w:ascii="Sylfaen" w:hAnsi="Sylfaen" w:cs="Sylfaen"/>
          <w:lang w:val="ka-GE"/>
        </w:rPr>
      </w:pPr>
    </w:p>
    <w:p>
      <w:pPr>
        <w:ind w:firstLine="100" w:firstLineChars="50"/>
        <w:jc w:val="both"/>
        <w:rPr>
          <w:rFonts w:ascii="Sylfaen" w:hAnsi="Sylfaen" w:cs="Sylfaen"/>
          <w:lang w:val="ka-GE"/>
        </w:rPr>
      </w:pPr>
    </w:p>
    <w:p>
      <w:pPr>
        <w:ind w:firstLine="100" w:firstLineChars="50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მომსახურების აღწერილობა:</w:t>
      </w:r>
    </w:p>
    <w:p>
      <w:pPr>
        <w:numPr>
          <w:ilvl w:val="0"/>
          <w:numId w:val="1"/>
        </w:numPr>
        <w:spacing w:after="120" w:afterLines="5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lang w:val="ka-GE"/>
        </w:rPr>
        <w:t xml:space="preserve">აუქციონში გამარჯვებულ კომპანიას შესაძლებლობა ექნება სწრაფი გადახდის ტერმინალის, </w:t>
      </w:r>
      <w:r>
        <w:rPr>
          <w:rFonts w:ascii="Sylfaen" w:hAnsi="Sylfaen" w:cs="Sylfaen"/>
        </w:rPr>
        <w:t>PayBox</w:t>
      </w:r>
      <w:r>
        <w:rPr>
          <w:rFonts w:ascii="Sylfaen" w:hAnsi="Sylfaen" w:cs="Sylfaen"/>
          <w:lang w:val="ka-GE"/>
        </w:rPr>
        <w:t>-ის</w:t>
      </w:r>
      <w:r>
        <w:rPr>
          <w:rFonts w:ascii="Sylfaen" w:hAnsi="Sylfaen" w:cs="Sylfaen"/>
          <w:sz w:val="21"/>
          <w:szCs w:val="22"/>
          <w:lang w:val="ka-GE"/>
        </w:rPr>
        <w:t xml:space="preserve"> მთავარ გვერდზე,</w:t>
      </w:r>
      <w:r>
        <w:rPr>
          <w:rFonts w:ascii="Sylfaen" w:hAnsi="Sylfaen" w:cs="Sylfaen"/>
          <w:sz w:val="21"/>
          <w:szCs w:val="22"/>
        </w:rPr>
        <w:t xml:space="preserve"> </w:t>
      </w:r>
      <w:r>
        <w:rPr>
          <w:rFonts w:ascii="Sylfaen" w:hAnsi="Sylfaen" w:cs="Sylfaen"/>
          <w:sz w:val="21"/>
          <w:szCs w:val="22"/>
          <w:lang w:val="ka-GE"/>
        </w:rPr>
        <w:t>მარჯვნივ</w:t>
      </w:r>
      <w:r>
        <w:rPr>
          <w:rFonts w:hint="default" w:ascii="Sylfaen" w:hAnsi="Sylfaen" w:cs="Sylfaen"/>
          <w:sz w:val="21"/>
          <w:szCs w:val="22"/>
          <w:lang w:val="ka-GE"/>
        </w:rPr>
        <w:t xml:space="preserve">, ქვედა მხარეს </w:t>
      </w:r>
      <w:r>
        <w:rPr>
          <w:rFonts w:ascii="Sylfaen" w:hAnsi="Sylfaen" w:cs="Sylfaen"/>
          <w:sz w:val="21"/>
          <w:szCs w:val="22"/>
          <w:lang w:val="ka-GE"/>
        </w:rPr>
        <w:t xml:space="preserve">მდებარე </w:t>
      </w:r>
      <w:bookmarkStart w:id="0" w:name="_GoBack"/>
      <w:bookmarkEnd w:id="0"/>
      <w:r>
        <w:rPr>
          <w:rFonts w:ascii="Sylfaen" w:hAnsi="Sylfaen" w:cs="Sylfaen"/>
          <w:sz w:val="21"/>
          <w:szCs w:val="22"/>
          <w:lang w:val="ka-GE"/>
        </w:rPr>
        <w:t xml:space="preserve">სივრცეში განათავსოს გადახდის ღილაკი, სასურველი დიზაინით. </w:t>
      </w:r>
      <w:r>
        <w:rPr>
          <w:rFonts w:ascii="Sylfaen" w:hAnsi="Sylfaen" w:cs="Sylfaen"/>
          <w:sz w:val="21"/>
          <w:szCs w:val="22"/>
        </w:rPr>
        <w:t>(</w:t>
      </w:r>
      <w:r>
        <w:rPr>
          <w:rFonts w:ascii="Sylfaen" w:hAnsi="Sylfaen" w:cs="Sylfaen"/>
          <w:sz w:val="21"/>
          <w:szCs w:val="22"/>
          <w:lang w:val="ka-GE"/>
        </w:rPr>
        <w:t>იხ. მიმაგრებული ფაილი);</w:t>
      </w:r>
    </w:p>
    <w:p>
      <w:pPr>
        <w:numPr>
          <w:ilvl w:val="0"/>
          <w:numId w:val="1"/>
        </w:numPr>
        <w:spacing w:after="120" w:afterLines="5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 xml:space="preserve">წერტილების რაოდენობა, სადაც განთავსდება ღილაკი: არანაკლებ 6500 ცალი </w:t>
      </w:r>
      <w:r>
        <w:rPr>
          <w:rFonts w:ascii="Sylfaen" w:hAnsi="Sylfaen" w:cs="Sylfaen"/>
          <w:sz w:val="21"/>
          <w:szCs w:val="22"/>
        </w:rPr>
        <w:t>PayBox</w:t>
      </w:r>
      <w:r>
        <w:rPr>
          <w:rFonts w:ascii="Sylfaen" w:hAnsi="Sylfaen" w:cs="Sylfaen"/>
          <w:sz w:val="21"/>
          <w:szCs w:val="22"/>
          <w:lang w:val="ka-GE"/>
        </w:rPr>
        <w:t xml:space="preserve">, მთელი საქართველის მასშტაბით </w:t>
      </w:r>
    </w:p>
    <w:p>
      <w:pPr>
        <w:numPr>
          <w:ilvl w:val="0"/>
          <w:numId w:val="1"/>
        </w:numPr>
        <w:spacing w:after="120" w:afterLines="5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 xml:space="preserve">ღილაკის ზომა: </w:t>
      </w:r>
      <w:r>
        <w:rPr>
          <w:rFonts w:hint="default" w:ascii="Sylfaen" w:hAnsi="Sylfaen" w:cs="Sylfaen"/>
          <w:sz w:val="21"/>
          <w:szCs w:val="22"/>
          <w:lang w:val="en-US"/>
        </w:rPr>
        <w:t>212</w:t>
      </w:r>
      <w:r>
        <w:rPr>
          <w:rFonts w:ascii="Sylfaen" w:hAnsi="Sylfaen" w:cs="Sylfaen"/>
          <w:sz w:val="21"/>
          <w:szCs w:val="22"/>
          <w:lang w:val="ka-GE"/>
        </w:rPr>
        <w:t>X</w:t>
      </w:r>
      <w:r>
        <w:rPr>
          <w:rFonts w:hint="default" w:ascii="Sylfaen" w:hAnsi="Sylfaen" w:cs="Sylfaen"/>
          <w:sz w:val="21"/>
          <w:szCs w:val="22"/>
          <w:lang w:val="en-US"/>
        </w:rPr>
        <w:t>220</w:t>
      </w:r>
      <w:r>
        <w:rPr>
          <w:rStyle w:val="7"/>
        </w:rPr>
        <w:t xml:space="preserve"> </w:t>
      </w:r>
      <w:r>
        <w:rPr>
          <w:rFonts w:ascii="Sylfaen" w:hAnsi="Sylfaen" w:cs="Sylfaen"/>
          <w:sz w:val="21"/>
          <w:szCs w:val="22"/>
        </w:rPr>
        <w:t>(PX);</w:t>
      </w:r>
    </w:p>
    <w:p>
      <w:pPr>
        <w:numPr>
          <w:ilvl w:val="0"/>
          <w:numId w:val="1"/>
        </w:numPr>
        <w:spacing w:after="120" w:afterLines="50"/>
        <w:jc w:val="both"/>
        <w:rPr>
          <w:rFonts w:ascii="Sylfaen" w:hAnsi="Sylfaen" w:cs="Sylfaen"/>
          <w:sz w:val="21"/>
          <w:szCs w:val="22"/>
        </w:rPr>
      </w:pPr>
      <w:r>
        <w:rPr>
          <w:rFonts w:ascii="Sylfaen" w:hAnsi="Sylfaen" w:cs="Sylfaen"/>
          <w:sz w:val="21"/>
          <w:szCs w:val="22"/>
          <w:lang w:val="ka-GE"/>
        </w:rPr>
        <w:t>ღილაკის ფორმატი</w:t>
      </w:r>
      <w:r>
        <w:rPr>
          <w:rFonts w:ascii="Sylfaen" w:hAnsi="Sylfaen" w:cs="Sylfaen"/>
          <w:sz w:val="21"/>
          <w:szCs w:val="22"/>
        </w:rPr>
        <w:t xml:space="preserve"> </w:t>
      </w:r>
      <w:r>
        <w:rPr>
          <w:rFonts w:ascii="Sylfaen" w:hAnsi="Sylfaen" w:cs="Sylfaen"/>
          <w:sz w:val="21"/>
          <w:szCs w:val="22"/>
          <w:lang w:val="ka-GE"/>
        </w:rPr>
        <w:t xml:space="preserve">და ტიპი: </w:t>
      </w:r>
      <w:r>
        <w:rPr>
          <w:rFonts w:ascii="Sylfaen" w:hAnsi="Sylfaen" w:cs="Sylfaen"/>
          <w:sz w:val="21"/>
          <w:szCs w:val="22"/>
        </w:rPr>
        <w:t xml:space="preserve">PNG, </w:t>
      </w:r>
      <w:r>
        <w:rPr>
          <w:rFonts w:ascii="Sylfaen" w:hAnsi="Sylfaen" w:cs="Sylfaen"/>
          <w:sz w:val="21"/>
          <w:szCs w:val="22"/>
          <w:lang w:val="ka-GE"/>
        </w:rPr>
        <w:t>სტატიკური</w:t>
      </w:r>
      <w:r>
        <w:rPr>
          <w:rFonts w:ascii="Sylfaen" w:hAnsi="Sylfaen" w:cs="Sylfaen"/>
          <w:sz w:val="21"/>
          <w:szCs w:val="22"/>
        </w:rPr>
        <w:t>;</w:t>
      </w:r>
    </w:p>
    <w:p>
      <w:pPr>
        <w:numPr>
          <w:ilvl w:val="0"/>
          <w:numId w:val="1"/>
        </w:numPr>
        <w:spacing w:after="120" w:afterLines="50"/>
        <w:jc w:val="both"/>
        <w:rPr>
          <w:rFonts w:ascii="Sylfaen" w:hAnsi="Sylfaen" w:cs="Sylfaen"/>
          <w:sz w:val="21"/>
          <w:szCs w:val="22"/>
          <w:shd w:val="clear" w:color="FFFFFF" w:fill="D9D9D9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 xml:space="preserve">მომსახურების დაწყების თარიღი: 2019 წლის </w:t>
      </w:r>
      <w:r>
        <w:rPr>
          <w:rFonts w:hint="default" w:ascii="Sylfaen" w:hAnsi="Sylfaen" w:cs="Sylfaen"/>
          <w:sz w:val="21"/>
          <w:szCs w:val="22"/>
          <w:highlight w:val="none"/>
          <w:shd w:val="clear" w:color="auto" w:fill="auto"/>
          <w:lang w:val="en-US"/>
        </w:rPr>
        <w:t xml:space="preserve">21 </w:t>
      </w:r>
      <w:r>
        <w:rPr>
          <w:rFonts w:hint="default" w:ascii="Sylfaen" w:hAnsi="Sylfaen" w:cs="Sylfaen"/>
          <w:sz w:val="21"/>
          <w:szCs w:val="22"/>
          <w:highlight w:val="none"/>
          <w:shd w:val="clear" w:color="auto" w:fill="auto"/>
          <w:lang w:val="ka-GE"/>
        </w:rPr>
        <w:t>ოქტომბერი</w:t>
      </w:r>
    </w:p>
    <w:p>
      <w:pPr>
        <w:numPr>
          <w:ilvl w:val="0"/>
          <w:numId w:val="1"/>
        </w:numPr>
        <w:spacing w:after="120" w:afterLines="5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ღილაკის განთავსების ხელშეკრულების ხ</w:t>
      </w:r>
      <w:r>
        <w:rPr>
          <w:rFonts w:ascii="Sylfaen" w:hAnsi="Sylfaen" w:cs="Sylfaen"/>
          <w:color w:val="auto"/>
          <w:sz w:val="21"/>
          <w:szCs w:val="22"/>
          <w:lang w:val="ka-GE"/>
        </w:rPr>
        <w:t>ანგრ</w:t>
      </w:r>
      <w:r>
        <w:rPr>
          <w:rFonts w:ascii="Sylfaen" w:hAnsi="Sylfaen" w:cs="Sylfaen"/>
          <w:sz w:val="21"/>
          <w:szCs w:val="22"/>
          <w:lang w:val="ka-GE"/>
        </w:rPr>
        <w:t>ძლივობა: 1 წელი</w:t>
      </w:r>
    </w:p>
    <w:p>
      <w:pPr>
        <w:ind w:firstLine="100" w:firstLineChars="50"/>
        <w:jc w:val="both"/>
        <w:rPr>
          <w:rFonts w:ascii="Sylfaen" w:hAnsi="Sylfaen" w:cs="Sylfaen"/>
          <w:lang w:val="ka-GE"/>
        </w:rPr>
      </w:pPr>
    </w:p>
    <w:p>
      <w:pPr>
        <w:ind w:firstLine="100" w:firstLineChars="50"/>
        <w:jc w:val="both"/>
        <w:rPr>
          <w:rFonts w:ascii="Sylfaen" w:hAnsi="Sylfaen" w:cs="Sylfaen"/>
          <w:lang w:val="ka-GE"/>
        </w:rPr>
      </w:pPr>
    </w:p>
    <w:p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შერჩევის პროცესის მიმდინარეობა და პირობები</w:t>
      </w:r>
    </w:p>
    <w:p>
      <w:pPr>
        <w:jc w:val="both"/>
        <w:rPr>
          <w:rFonts w:ascii="Sylfaen" w:hAnsi="Sylfaen" w:cs="Sylfaen"/>
          <w:sz w:val="21"/>
          <w:szCs w:val="22"/>
          <w:lang w:val="ka-GE"/>
        </w:rPr>
      </w:pPr>
    </w:p>
    <w:p>
      <w:pPr>
        <w:numPr>
          <w:ilvl w:val="0"/>
          <w:numId w:val="1"/>
        </w:numPr>
        <w:spacing w:after="120" w:afterLines="5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 xml:space="preserve">ღილაკის განთავსების მომსახურების ყოველთვიური ღირებულება: საწყისი თანხა, </w:t>
      </w:r>
      <w:r>
        <w:rPr>
          <w:rFonts w:hint="default" w:ascii="Sylfaen" w:hAnsi="Sylfaen" w:cs="Sylfaen"/>
          <w:sz w:val="21"/>
          <w:szCs w:val="22"/>
          <w:lang w:val="ka-GE"/>
        </w:rPr>
        <w:t>8,000</w:t>
      </w:r>
      <w:r>
        <w:rPr>
          <w:rFonts w:ascii="Sylfaen" w:hAnsi="Sylfaen" w:cs="Sylfaen"/>
          <w:sz w:val="21"/>
          <w:szCs w:val="22"/>
          <w:lang w:val="ka-GE"/>
        </w:rPr>
        <w:t xml:space="preserve"> (რვა ათასი) ლარი</w:t>
      </w:r>
    </w:p>
    <w:p>
      <w:pPr>
        <w:numPr>
          <w:ilvl w:val="0"/>
          <w:numId w:val="1"/>
        </w:numPr>
        <w:spacing w:after="120" w:afterLines="5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ვაჭრობის ტიპი: ფორვარდული აუქციონი</w:t>
      </w:r>
    </w:p>
    <w:p>
      <w:pPr>
        <w:numPr>
          <w:ilvl w:val="0"/>
          <w:numId w:val="1"/>
        </w:numPr>
        <w:spacing w:after="120" w:afterLines="5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მინიმალური ბიჯი: 500</w:t>
      </w:r>
      <w:r>
        <w:rPr>
          <w:rFonts w:ascii="Sylfaen" w:hAnsi="Sylfaen" w:cs="Sylfaen"/>
          <w:sz w:val="21"/>
          <w:szCs w:val="22"/>
        </w:rPr>
        <w:t xml:space="preserve"> </w:t>
      </w:r>
      <w:r>
        <w:rPr>
          <w:rFonts w:ascii="Sylfaen" w:hAnsi="Sylfaen" w:cs="Sylfaen"/>
          <w:sz w:val="21"/>
          <w:szCs w:val="22"/>
          <w:lang w:val="ka-GE"/>
        </w:rPr>
        <w:t>(ხუთასი) ლარი</w:t>
      </w:r>
    </w:p>
    <w:p>
      <w:pPr>
        <w:numPr>
          <w:ilvl w:val="0"/>
          <w:numId w:val="1"/>
        </w:numPr>
        <w:spacing w:after="120" w:afterLines="5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გამარჯვებული გამოვლინდება აუქციონის წესით</w:t>
      </w:r>
    </w:p>
    <w:p>
      <w:pPr>
        <w:numPr>
          <w:ilvl w:val="0"/>
          <w:numId w:val="1"/>
        </w:numPr>
        <w:spacing w:after="120" w:afterLines="5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აუქციონის განმავლობაში დამატებითი ინფორმაციის მოპოვება ან დაზუსტება შესაძლებელია საკონტაქტო პირთან ელ-ფოსტით ან ტელეფონით დაკავშირებით;</w:t>
      </w:r>
    </w:p>
    <w:p>
      <w:pPr>
        <w:numPr>
          <w:ilvl w:val="0"/>
          <w:numId w:val="1"/>
        </w:numPr>
        <w:spacing w:after="120" w:afterLines="50"/>
        <w:jc w:val="both"/>
        <w:rPr>
          <w:rFonts w:ascii="Sylfaen" w:hAnsi="Sylfaen" w:cs="Sylfaen"/>
          <w:color w:val="000000" w:themeColor="text1"/>
          <w:sz w:val="21"/>
          <w:szCs w:val="22"/>
          <w:lang w:val="ka-GE"/>
          <w14:textFill>
            <w14:solidFill>
              <w14:schemeClr w14:val="tx1"/>
            </w14:solidFill>
          </w14:textFill>
        </w:rPr>
      </w:pPr>
      <w:r>
        <w:rPr>
          <w:rFonts w:ascii="Sylfaen" w:hAnsi="Sylfaen" w:cs="Sylfaen"/>
          <w:color w:val="000000" w:themeColor="text1"/>
          <w:sz w:val="21"/>
          <w:szCs w:val="22"/>
          <w:lang w:val="ka-GE"/>
          <w14:textFill>
            <w14:solidFill>
              <w14:schemeClr w14:val="tx1"/>
            </w14:solidFill>
          </w14:textFill>
        </w:rPr>
        <w:t>აუქციონში გამარჯვებულ პრეტენდენტთან გაფორმდება ხელშეკრულება.</w:t>
      </w:r>
    </w:p>
    <w:p>
      <w:pPr>
        <w:ind w:firstLine="100" w:firstLineChars="50"/>
        <w:jc w:val="both"/>
        <w:rPr>
          <w:rFonts w:ascii="Sylfaen" w:hAnsi="Sylfaen" w:cs="Sylfaen"/>
          <w:b/>
          <w:bCs/>
          <w:lang w:val="ka-GE"/>
        </w:rPr>
      </w:pPr>
    </w:p>
    <w:p>
      <w:pPr>
        <w:ind w:firstLine="100" w:firstLineChars="50"/>
        <w:jc w:val="both"/>
        <w:rPr>
          <w:rFonts w:ascii="Sylfaen" w:hAnsi="Sylfaen" w:cs="Sylfaen"/>
          <w:b/>
          <w:bCs/>
          <w:lang w:val="ka-GE"/>
        </w:rPr>
      </w:pPr>
    </w:p>
    <w:p>
      <w:pPr>
        <w:ind w:firstLine="100" w:firstLineChars="50"/>
        <w:jc w:val="both"/>
        <w:rPr>
          <w:rFonts w:ascii="Sylfaen" w:hAnsi="Sylfaen" w:cs="Sylfaen"/>
          <w:b/>
          <w:bCs/>
          <w:lang w:val="ka-GE"/>
        </w:rPr>
      </w:pPr>
    </w:p>
    <w:p>
      <w:pPr>
        <w:ind w:firstLine="100" w:firstLineChars="50"/>
        <w:jc w:val="both"/>
        <w:rPr>
          <w:rFonts w:ascii="Sylfaen" w:hAnsi="Sylfaen" w:cs="Sylfaen"/>
          <w:b/>
          <w:bCs/>
          <w:lang w:val="ka-GE"/>
        </w:rPr>
      </w:pPr>
    </w:p>
    <w:p>
      <w:pPr>
        <w:jc w:val="both"/>
        <w:rPr>
          <w:rFonts w:ascii="Sylfaen" w:hAnsi="Sylfaen" w:cs="Sylfaen"/>
          <w:b/>
          <w:bCs/>
          <w:lang w:val="ka-GE"/>
        </w:rPr>
      </w:pPr>
    </w:p>
    <w:p>
      <w:pPr>
        <w:ind w:firstLine="100" w:firstLineChars="50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ანგარიშსწორების პირობები</w:t>
      </w:r>
    </w:p>
    <w:p>
      <w:pPr>
        <w:jc w:val="both"/>
        <w:rPr>
          <w:rFonts w:ascii="Sylfaen" w:hAnsi="Sylfaen" w:cs="Sylfaen"/>
          <w:b/>
          <w:bCs/>
          <w:lang w:val="ka-GE"/>
        </w:rPr>
      </w:pPr>
    </w:p>
    <w:p>
      <w:pPr>
        <w:numPr>
          <w:ilvl w:val="0"/>
          <w:numId w:val="1"/>
        </w:numPr>
        <w:spacing w:after="120" w:afterLines="5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სატენდერო წინადადება წარმოდგენილი უნდა იყოს საქართველოს ეროვნულ ვალუტაში - ლარში;</w:t>
      </w:r>
    </w:p>
    <w:p>
      <w:pPr>
        <w:numPr>
          <w:ilvl w:val="0"/>
          <w:numId w:val="1"/>
        </w:numPr>
        <w:spacing w:after="120" w:afterLines="5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საწყისი ფასი და ბიჯები მოიცავს დღგ-ს</w:t>
      </w:r>
    </w:p>
    <w:p>
      <w:pPr>
        <w:numPr>
          <w:ilvl w:val="0"/>
          <w:numId w:val="1"/>
        </w:numPr>
        <w:spacing w:after="120" w:afterLines="5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ხელშეკრულების ფარგლებში ანგარიშსწორება განხორციელდება ყოველთვიურად, მომსახურების მხარეთა შორის შესაბამისი მიღება-ჩაბარების აქტის გაფორმებიდან არაუგვიანეს 3 (სამი) საბანკო დღის ვადაში.</w:t>
      </w:r>
    </w:p>
    <w:p>
      <w:pPr>
        <w:jc w:val="both"/>
        <w:rPr>
          <w:rFonts w:ascii="Sylfaen" w:hAnsi="Sylfaen" w:cs="Sylfaen"/>
          <w:sz w:val="21"/>
          <w:szCs w:val="22"/>
          <w:lang w:val="ka-GE"/>
        </w:rPr>
      </w:pPr>
    </w:p>
    <w:p>
      <w:pPr>
        <w:jc w:val="both"/>
        <w:rPr>
          <w:rFonts w:ascii="Sylfaen" w:hAnsi="Sylfaen" w:cs="Sylfaen"/>
          <w:sz w:val="21"/>
          <w:szCs w:val="22"/>
          <w:lang w:val="ka-GE"/>
        </w:rPr>
      </w:pPr>
    </w:p>
    <w:p>
      <w:pPr>
        <w:jc w:val="left"/>
        <w:rPr>
          <w:rFonts w:asciiTheme="minorHAnsi" w:hAnsiTheme="minorHAnsi" w:cstheme="minorBidi"/>
          <w:sz w:val="20"/>
          <w:szCs w:val="20"/>
          <w:lang w:val="ka-GE"/>
        </w:rPr>
      </w:pPr>
      <w:r>
        <w:rPr>
          <w:rFonts w:cs="Sylfaen" w:asciiTheme="minorHAnsi" w:hAnsiTheme="minorHAnsi"/>
          <w:b w:val="0"/>
          <w:bCs w:val="0"/>
          <w:sz w:val="20"/>
          <w:szCs w:val="20"/>
          <w:cs/>
          <w:lang w:val="ka-GE" w:bidi="ka-GE"/>
        </w:rPr>
        <w:t>საკონტაქტო ინფორმაცია</w:t>
      </w:r>
      <w:r>
        <w:rPr>
          <w:rFonts w:asciiTheme="minorHAnsi" w:hAnsiTheme="minorHAnsi" w:cstheme="minorBidi"/>
          <w:sz w:val="20"/>
          <w:szCs w:val="20"/>
          <w:lang w:val="ka-GE"/>
        </w:rPr>
        <w:t>:</w:t>
      </w:r>
    </w:p>
    <w:p>
      <w:pPr>
        <w:jc w:val="left"/>
        <w:rPr>
          <w:rFonts w:asciiTheme="minorHAnsi" w:hAnsiTheme="minorHAnsi" w:cstheme="minorBidi"/>
          <w:sz w:val="20"/>
          <w:szCs w:val="20"/>
          <w:lang w:val="ka-GE"/>
        </w:rPr>
      </w:pPr>
      <w:r>
        <w:rPr>
          <w:rFonts w:cs="Sylfaen" w:asciiTheme="minorHAnsi" w:hAnsiTheme="minorHAnsi"/>
          <w:sz w:val="20"/>
          <w:szCs w:val="20"/>
          <w:cs/>
          <w:lang w:val="ka-GE" w:bidi="ka-GE"/>
        </w:rPr>
        <w:t>ქ.თბილისი, დ. აღმაშენებლის ხეივანი მე-19 კილომეტრი.</w:t>
      </w:r>
    </w:p>
    <w:p>
      <w:pPr>
        <w:jc w:val="left"/>
        <w:rPr>
          <w:rFonts w:hint="default" w:asciiTheme="minorHAnsi" w:hAnsiTheme="minorHAnsi" w:cstheme="minorBidi"/>
          <w:color w:val="auto"/>
          <w:sz w:val="20"/>
          <w:szCs w:val="20"/>
          <w:lang w:val="en-US"/>
        </w:rPr>
      </w:pPr>
      <w:r>
        <w:rPr>
          <w:rFonts w:cs="Sylfaen" w:asciiTheme="minorHAnsi" w:hAnsiTheme="minorHAnsi"/>
          <w:color w:val="auto"/>
          <w:sz w:val="20"/>
          <w:szCs w:val="20"/>
          <w:cs/>
          <w:lang w:val="ka-GE" w:bidi="ka-GE"/>
        </w:rPr>
        <w:t>საკონტაქტო პირი:</w:t>
      </w:r>
      <w:r>
        <w:rPr>
          <w:rFonts w:hint="default" w:asciiTheme="minorHAnsi" w:hAnsiTheme="minorHAnsi" w:cstheme="minorBidi"/>
          <w:color w:val="auto"/>
          <w:sz w:val="20"/>
          <w:szCs w:val="20"/>
          <w:lang w:val="en-US"/>
        </w:rPr>
        <w:t xml:space="preserve"> </w:t>
      </w:r>
      <w:r>
        <w:rPr>
          <w:rFonts w:hint="default" w:cs="Sylfaen"/>
          <w:color w:val="auto"/>
          <w:sz w:val="20"/>
          <w:szCs w:val="20"/>
          <w:cs/>
          <w:lang w:val="en-US" w:bidi="ka-GE"/>
        </w:rPr>
        <w:t>ნიკა</w:t>
      </w:r>
      <w:r>
        <w:rPr>
          <w:rFonts w:hint="default" w:cstheme="minorBidi"/>
          <w:color w:val="auto"/>
          <w:sz w:val="20"/>
          <w:szCs w:val="20"/>
          <w:cs w:val="0"/>
          <w:lang w:val="en-US" w:bidi="ka-GE"/>
        </w:rPr>
        <w:t xml:space="preserve"> </w:t>
      </w:r>
      <w:r>
        <w:rPr>
          <w:rFonts w:hint="default" w:cs="Sylfaen"/>
          <w:color w:val="auto"/>
          <w:sz w:val="20"/>
          <w:szCs w:val="20"/>
          <w:cs/>
          <w:lang w:val="en-US" w:bidi="ka-GE"/>
        </w:rPr>
        <w:t>თვაური</w:t>
      </w:r>
    </w:p>
    <w:p>
      <w:pPr>
        <w:jc w:val="left"/>
        <w:rPr>
          <w:rFonts w:hint="default" w:cs="Sylfaen" w:asciiTheme="minorHAnsi" w:hAnsiTheme="minorHAnsi"/>
          <w:color w:val="auto"/>
          <w:sz w:val="20"/>
          <w:szCs w:val="20"/>
          <w:cs/>
          <w:lang w:val="ka-GE" w:bidi="ka-GE"/>
        </w:rPr>
      </w:pPr>
      <w:r>
        <w:rPr>
          <w:rFonts w:cs="Sylfaen" w:asciiTheme="minorHAnsi" w:hAnsiTheme="minorHAnsi"/>
          <w:color w:val="auto"/>
          <w:sz w:val="20"/>
          <w:szCs w:val="20"/>
          <w:cs/>
          <w:lang w:val="ka-GE" w:bidi="ka-GE"/>
        </w:rPr>
        <w:t>ტელ:</w:t>
      </w:r>
      <w:r>
        <w:rPr>
          <w:rFonts w:asciiTheme="minorHAnsi" w:hAnsiTheme="minorHAnsi" w:cstheme="minorBidi"/>
          <w:color w:val="auto"/>
          <w:sz w:val="20"/>
          <w:szCs w:val="20"/>
          <w:lang w:val="ka-GE"/>
        </w:rPr>
        <w:t xml:space="preserve"> </w:t>
      </w:r>
      <w:r>
        <w:rPr>
          <w:rFonts w:hint="default" w:cs="Sylfaen" w:asciiTheme="minorHAnsi" w:hAnsiTheme="minorHAnsi"/>
          <w:color w:val="auto"/>
          <w:sz w:val="20"/>
          <w:szCs w:val="20"/>
          <w:cs/>
          <w:lang w:val="ka-GE" w:bidi="ka-GE"/>
        </w:rPr>
        <w:t>555 900 344</w:t>
      </w:r>
    </w:p>
    <w:p>
      <w:pPr>
        <w:jc w:val="left"/>
        <w:rPr>
          <w:rFonts w:hint="default" w:asciiTheme="minorHAnsi" w:hAnsiTheme="minorHAnsi" w:cstheme="minorBidi"/>
          <w:color w:val="auto"/>
          <w:sz w:val="20"/>
          <w:szCs w:val="20"/>
          <w:lang w:val="en-US"/>
        </w:rPr>
      </w:pPr>
      <w:r>
        <w:rPr>
          <w:rFonts w:cs="Sylfaen" w:asciiTheme="minorHAnsi" w:hAnsiTheme="minorHAnsi"/>
          <w:color w:val="auto"/>
          <w:sz w:val="20"/>
          <w:szCs w:val="20"/>
          <w:cs/>
          <w:lang w:val="ka-GE" w:bidi="ka-GE"/>
        </w:rPr>
        <w:t>ელ. ფოსტა:</w:t>
      </w:r>
      <w:r>
        <w:rPr>
          <w:rFonts w:hint="default" w:cs="Sylfaen" w:asciiTheme="minorHAnsi" w:hAnsiTheme="minorHAnsi"/>
          <w:color w:val="auto"/>
          <w:sz w:val="20"/>
          <w:szCs w:val="20"/>
          <w:cs/>
          <w:lang w:val="ka-GE" w:bidi="ka-GE"/>
        </w:rPr>
        <w:t> </w:t>
      </w:r>
      <w:r>
        <w:rPr>
          <w:rFonts w:hint="default" w:cs="Sylfaen" w:asciiTheme="minorHAnsi" w:hAnsiTheme="minorHAnsi"/>
          <w:color w:val="auto"/>
          <w:sz w:val="20"/>
          <w:szCs w:val="20"/>
          <w:cs/>
          <w:lang w:val="en-US" w:bidi="ka-GE"/>
        </w:rPr>
        <w:t>n.tvauri@oppa.ge</w:t>
      </w:r>
    </w:p>
    <w:p>
      <w:pPr>
        <w:jc w:val="both"/>
        <w:rPr>
          <w:rFonts w:ascii="Sylfaen" w:hAnsi="Sylfaen" w:cs="Sylfaen"/>
          <w:sz w:val="21"/>
          <w:szCs w:val="22"/>
          <w:lang w:val="ka-GE"/>
        </w:rPr>
      </w:pPr>
    </w:p>
    <w:p>
      <w:pPr>
        <w:rPr>
          <w:rFonts w:ascii="Sylfaen" w:hAnsi="Sylfaen" w:cs="Sylfaen"/>
          <w:b/>
          <w:bCs/>
          <w:sz w:val="21"/>
          <w:szCs w:val="22"/>
          <w:lang w:val="ka-GE"/>
        </w:rPr>
      </w:pPr>
    </w:p>
    <w:p>
      <w:pPr>
        <w:rPr>
          <w:rFonts w:ascii="Sylfaen" w:hAnsi="Sylfaen" w:cs="Sylfaen"/>
          <w:b/>
          <w:bCs/>
          <w:sz w:val="21"/>
          <w:szCs w:val="22"/>
          <w:lang w:val="ka-GE"/>
        </w:rPr>
      </w:pPr>
    </w:p>
    <w:p>
      <w:pPr>
        <w:rPr>
          <w:rFonts w:ascii="Sylfaen" w:hAnsi="Sylfaen" w:cs="Sylfaen"/>
          <w:b/>
          <w:bCs/>
          <w:sz w:val="21"/>
          <w:szCs w:val="22"/>
          <w:lang w:val="ka-GE"/>
        </w:rPr>
      </w:pPr>
    </w:p>
    <w:p>
      <w:pPr>
        <w:jc w:val="both"/>
        <w:rPr>
          <w:rFonts w:ascii="Sylfaen" w:hAnsi="Sylfaen" w:cs="Sylfaen"/>
          <w:sz w:val="21"/>
          <w:szCs w:val="22"/>
          <w:lang w:val="ka-G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C3E747"/>
    <w:multiLevelType w:val="singleLevel"/>
    <w:tmpl w:val="88C3E74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hint="default" w:ascii="Wingdings" w:hAnsi="Wingdings"/>
        <w:sz w:val="1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966EE"/>
    <w:rsid w:val="00072DA8"/>
    <w:rsid w:val="001D0FFF"/>
    <w:rsid w:val="00340F44"/>
    <w:rsid w:val="00541842"/>
    <w:rsid w:val="007E0BEA"/>
    <w:rsid w:val="008129B5"/>
    <w:rsid w:val="00A91BC1"/>
    <w:rsid w:val="00AC76C6"/>
    <w:rsid w:val="00B11690"/>
    <w:rsid w:val="00FB1A74"/>
    <w:rsid w:val="07034E6C"/>
    <w:rsid w:val="09682E8B"/>
    <w:rsid w:val="19206FA7"/>
    <w:rsid w:val="217D7E8E"/>
    <w:rsid w:val="258A5FF4"/>
    <w:rsid w:val="2AD40CB0"/>
    <w:rsid w:val="2F2371E6"/>
    <w:rsid w:val="363966EE"/>
    <w:rsid w:val="38511509"/>
    <w:rsid w:val="396F7E33"/>
    <w:rsid w:val="3BE12FEA"/>
    <w:rsid w:val="3CE777BF"/>
    <w:rsid w:val="414E31A2"/>
    <w:rsid w:val="47342586"/>
    <w:rsid w:val="4F670D09"/>
    <w:rsid w:val="4F6E544E"/>
    <w:rsid w:val="502F1ECD"/>
    <w:rsid w:val="5CD800E5"/>
    <w:rsid w:val="5CEE0C76"/>
    <w:rsid w:val="66744E84"/>
    <w:rsid w:val="6B942824"/>
    <w:rsid w:val="72F31FFD"/>
    <w:rsid w:val="7611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="0" w:afterAutospacing="1" w:line="259" w:lineRule="auto"/>
      <w:outlineLvl w:val="1"/>
    </w:pPr>
    <w:rPr>
      <w:rFonts w:hint="eastAsia" w:ascii="SimSun" w:hAnsi="SimSun" w:eastAsia="SimSun" w:cs="Times New Roman"/>
      <w:b/>
      <w:bCs/>
      <w:sz w:val="36"/>
      <w:szCs w:val="36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annotation text"/>
    <w:basedOn w:val="1"/>
    <w:link w:val="11"/>
    <w:qFormat/>
    <w:uiPriority w:val="0"/>
    <w:pPr>
      <w:spacing w:line="240" w:lineRule="auto"/>
    </w:pPr>
  </w:style>
  <w:style w:type="paragraph" w:styleId="5">
    <w:name w:val="annotation subject"/>
    <w:basedOn w:val="4"/>
    <w:next w:val="4"/>
    <w:link w:val="12"/>
    <w:qFormat/>
    <w:uiPriority w:val="0"/>
    <w:rPr>
      <w:b/>
      <w:bCs/>
    </w:rPr>
  </w:style>
  <w:style w:type="character" w:styleId="7">
    <w:name w:val="annotation reference"/>
    <w:basedOn w:val="6"/>
    <w:qFormat/>
    <w:uiPriority w:val="0"/>
    <w:rPr>
      <w:sz w:val="16"/>
      <w:szCs w:val="16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styleId="9">
    <w:name w:val="Strong"/>
    <w:basedOn w:val="6"/>
    <w:qFormat/>
    <w:uiPriority w:val="0"/>
    <w:rPr>
      <w:b/>
      <w:bCs/>
    </w:rPr>
  </w:style>
  <w:style w:type="character" w:customStyle="1" w:styleId="11">
    <w:name w:val="Comment Text Char"/>
    <w:basedOn w:val="6"/>
    <w:link w:val="4"/>
    <w:qFormat/>
    <w:uiPriority w:val="0"/>
    <w:rPr>
      <w:rFonts w:asciiTheme="minorHAnsi" w:hAnsiTheme="minorHAnsi" w:eastAsiaTheme="minorEastAsia" w:cstheme="minorBidi"/>
      <w:lang w:eastAsia="zh-CN"/>
    </w:rPr>
  </w:style>
  <w:style w:type="character" w:customStyle="1" w:styleId="12">
    <w:name w:val="Comment Subject Char"/>
    <w:basedOn w:val="11"/>
    <w:link w:val="5"/>
    <w:qFormat/>
    <w:uiPriority w:val="0"/>
    <w:rPr>
      <w:rFonts w:asciiTheme="minorHAnsi" w:hAnsiTheme="minorHAnsi" w:eastAsiaTheme="minorEastAsia" w:cstheme="minorBidi"/>
      <w:b/>
      <w:bCs/>
      <w:lang w:eastAsia="zh-CN"/>
    </w:rPr>
  </w:style>
  <w:style w:type="character" w:customStyle="1" w:styleId="13">
    <w:name w:val="Balloon Text Char"/>
    <w:basedOn w:val="6"/>
    <w:link w:val="3"/>
    <w:qFormat/>
    <w:uiPriority w:val="0"/>
    <w:rPr>
      <w:rFonts w:ascii="Segoe UI" w:hAnsi="Segoe UI" w:cs="Segoe UI" w:eastAsiaTheme="minorEastAsia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1429</Characters>
  <Lines>11</Lines>
  <Paragraphs>3</Paragraphs>
  <TotalTime>57</TotalTime>
  <ScaleCrop>false</ScaleCrop>
  <LinksUpToDate>false</LinksUpToDate>
  <CharactersWithSpaces>1676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2019-05-16T14:55:00Z</dcterms:created>
  <dc:creator>Nika Tvauri</dc:creator>
  <cp:lastModifiedBy>Nika Tvauri</cp:lastModifiedBy>
  <dcterms:modified xsi:type="dcterms:W3CDTF">2019-10-02T11:35:29Z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